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235910">
      <w:pPr>
        <w:pStyle w:val="Heading1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Fiscalite </w:t>
      </w:r>
      <w:r w:rsidR="006E5DD3" w:rsidRPr="00EB3408">
        <w:rPr>
          <w:rFonts w:asciiTheme="minorBidi" w:hAnsiTheme="minorBidi" w:cstheme="minorBidi"/>
        </w:rPr>
        <w:t xml:space="preserve">APPLIQUEE </w:t>
      </w:r>
      <w:r w:rsidRPr="00EB3408">
        <w:rPr>
          <w:rFonts w:asciiTheme="minorBidi" w:hAnsiTheme="minorBidi" w:cstheme="minorBidi"/>
        </w:rPr>
        <w:br/>
        <w:t>(60 Periodes)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1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 xml:space="preserve">L’organisation de l’administration fiscale 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right="397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– Identifier l’organisation de l’administration fiscale. </w:t>
      </w:r>
    </w:p>
    <w:p w:rsidR="00235910" w:rsidRPr="00EB3408" w:rsidRDefault="00235910" w:rsidP="00235910">
      <w:pPr>
        <w:bidi w:val="0"/>
        <w:ind w:right="397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– Identifier l’organisation du centre local des impôts. </w:t>
      </w:r>
    </w:p>
    <w:p w:rsidR="00235910" w:rsidRPr="00EB3408" w:rsidRDefault="00235910" w:rsidP="00235910">
      <w:pPr>
        <w:bidi w:val="0"/>
        <w:ind w:right="397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– Situer l’impôt sur le revenu, la taxe sur la VA. 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235910" w:rsidRPr="00EB3408" w:rsidRDefault="00235910" w:rsidP="00235910">
      <w:pPr>
        <w:pStyle w:val="BodyText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1.1 Organisation des services centraux (directions)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1.2 Organisation décentralisée (région, département)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1.3 Organisation du centre local des impôts. 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 xml:space="preserve">Théorie de l’impôt 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2.1 Définition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2.2 Catégories d’impôts </w:t>
      </w:r>
    </w:p>
    <w:p w:rsidR="00235910" w:rsidRPr="00EB3408" w:rsidRDefault="00235910" w:rsidP="00235910">
      <w:pPr>
        <w:bidi w:val="0"/>
        <w:ind w:firstLine="72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2.2.1 Impôts directs : définition, genre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ab/>
        <w:t xml:space="preserve">2.2.2 Impôts indirects : définition, genre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ab/>
        <w:t xml:space="preserve">2.2.3 Taxe sur la Valeur Ajoutée :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ab/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2.2.3.1 Définition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ab/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2.2.3.2 Champ d’application 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3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Bénéfices Industriels et Commerciaux (B.I.C.)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lang w:val="fr-FR"/>
        </w:rPr>
        <w:tab/>
        <w:t>Passer du résultat comptable au résultat fiscal (procéder aux réintégrations et aux déductions nécessaires aux résultats comptables).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Produits imposables. 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Charges déductibles. 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Contenu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3.1 Principes généraux (notion, territorialité),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3.2 Personnes physiques et morales imposables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3.3 Les sociétés - de capitaux, de personnes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3.4 Les entreprises individuelles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3.5 Les particuliers, professions libérales 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 xml:space="preserve">3.6 Abattement familial 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4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régimes d’imposition et les obligations du contribuable</w:t>
      </w:r>
    </w:p>
    <w:p w:rsidR="00235910" w:rsidRPr="00EB3408" w:rsidRDefault="00235910" w:rsidP="00235910">
      <w:pPr>
        <w:pStyle w:val="Heading3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Objectifs 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Explication du mécanisme. 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–</w:t>
      </w:r>
      <w:r w:rsidRPr="00EB3408">
        <w:rPr>
          <w:rFonts w:asciiTheme="minorBidi" w:hAnsiTheme="minorBidi" w:cstheme="minorBidi"/>
          <w:sz w:val="22"/>
          <w:lang w:val="fr-FR"/>
        </w:rPr>
        <w:tab/>
        <w:t xml:space="preserve">Etablir les documents correspondant aux différents régimes d’impôt. </w:t>
      </w:r>
    </w:p>
    <w:p w:rsidR="00235910" w:rsidRPr="00EB3408" w:rsidRDefault="00235910" w:rsidP="00235910">
      <w:pPr>
        <w:pStyle w:val="BodyText"/>
        <w:rPr>
          <w:rFonts w:asciiTheme="minorBidi" w:hAnsiTheme="minorBidi" w:cstheme="minorBidi"/>
        </w:rPr>
      </w:pPr>
      <w:bookmarkStart w:id="0" w:name="_GoBack"/>
      <w:bookmarkEnd w:id="0"/>
    </w:p>
    <w:sectPr w:rsidR="00235910" w:rsidRPr="00EB3408" w:rsidSect="009639BC">
      <w:headerReference w:type="default" r:id="rId8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144EA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3A6830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1D13"/>
    <w:rsid w:val="006A2E4D"/>
    <w:rsid w:val="006B1466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639BC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77720"/>
    <w:rsid w:val="00A91FE4"/>
    <w:rsid w:val="00A94DFB"/>
    <w:rsid w:val="00AA78B4"/>
    <w:rsid w:val="00AB1CFA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32CFB"/>
    <w:rsid w:val="00E50831"/>
    <w:rsid w:val="00E633B7"/>
    <w:rsid w:val="00E71E44"/>
    <w:rsid w:val="00E84B95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0BD9-E60B-4A6E-81E5-190D38FF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25</cp:revision>
  <cp:lastPrinted>2014-02-21T17:48:00Z</cp:lastPrinted>
  <dcterms:created xsi:type="dcterms:W3CDTF">2014-03-20T19:20:00Z</dcterms:created>
  <dcterms:modified xsi:type="dcterms:W3CDTF">2019-07-22T07:25:00Z</dcterms:modified>
</cp:coreProperties>
</file>